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871D4" w14:textId="77777777" w:rsidR="0076471C" w:rsidRPr="0076471C" w:rsidRDefault="0076471C" w:rsidP="00D64F44">
      <w:pPr>
        <w:pStyle w:val="BodyText"/>
        <w:spacing w:before="78"/>
        <w:jc w:val="center"/>
        <w:rPr>
          <w:rFonts w:ascii="Verdana" w:hAnsi="Verdana"/>
          <w:b/>
          <w:sz w:val="22"/>
          <w:szCs w:val="22"/>
        </w:rPr>
      </w:pPr>
      <w:r w:rsidRPr="0076471C">
        <w:rPr>
          <w:rFonts w:ascii="Verdana" w:hAnsi="Verdana"/>
          <w:b/>
          <w:color w:val="231F20"/>
          <w:sz w:val="22"/>
          <w:szCs w:val="22"/>
        </w:rPr>
        <w:t>Mandatory Language for Monitoring and Reporting Violation Failure to Submit a Surface Water Monthly Operating Report (SWMOR)</w:t>
      </w:r>
    </w:p>
    <w:p w14:paraId="5EF3A2F0" w14:textId="77777777" w:rsidR="0076471C" w:rsidRPr="0076471C" w:rsidRDefault="0076471C" w:rsidP="00D64F44">
      <w:pPr>
        <w:pStyle w:val="BodyText"/>
        <w:spacing w:before="1"/>
        <w:jc w:val="center"/>
        <w:rPr>
          <w:rFonts w:ascii="Verdana" w:hAnsi="Verdana"/>
          <w:b/>
          <w:sz w:val="22"/>
          <w:szCs w:val="22"/>
        </w:rPr>
      </w:pPr>
      <w:r w:rsidRPr="0076471C">
        <w:rPr>
          <w:rFonts w:ascii="Verdana" w:hAnsi="Verdana"/>
          <w:b/>
          <w:color w:val="231F20"/>
          <w:sz w:val="22"/>
          <w:szCs w:val="22"/>
        </w:rPr>
        <w:t>SURFACE WATER MONITORING, ROUTINE MAJOR</w:t>
      </w:r>
    </w:p>
    <w:p w14:paraId="43BEB19F" w14:textId="77777777" w:rsidR="0076471C" w:rsidRPr="0076471C" w:rsidRDefault="0076471C" w:rsidP="0076471C">
      <w:pPr>
        <w:pStyle w:val="BodyText"/>
        <w:jc w:val="both"/>
        <w:rPr>
          <w:rFonts w:ascii="Verdana" w:hAnsi="Verdana"/>
          <w:b/>
          <w:sz w:val="22"/>
          <w:szCs w:val="22"/>
        </w:rPr>
      </w:pPr>
    </w:p>
    <w:p w14:paraId="05B0F1D7" w14:textId="77777777" w:rsidR="0076471C" w:rsidRPr="0076471C" w:rsidRDefault="0076471C" w:rsidP="0076471C">
      <w:pPr>
        <w:pStyle w:val="BodyText"/>
        <w:spacing w:line="237" w:lineRule="auto"/>
        <w:ind w:right="-90"/>
        <w:jc w:val="both"/>
        <w:rPr>
          <w:rFonts w:ascii="Verdana" w:hAnsi="Verdana"/>
          <w:sz w:val="22"/>
          <w:szCs w:val="22"/>
        </w:rPr>
      </w:pPr>
      <w:r w:rsidRPr="0076471C">
        <w:rPr>
          <w:rFonts w:ascii="Verdana" w:hAnsi="Verdana"/>
          <w:color w:val="231F20"/>
          <w:sz w:val="22"/>
          <w:szCs w:val="22"/>
        </w:rPr>
        <w:t xml:space="preserve">The </w:t>
      </w:r>
      <w:r w:rsidRPr="0076471C">
        <w:rPr>
          <w:rFonts w:ascii="Verdana" w:hAnsi="Verdana"/>
          <w:b/>
          <w:color w:val="231F20"/>
          <w:sz w:val="22"/>
          <w:szCs w:val="22"/>
        </w:rPr>
        <w:t>OAK TRAIL SHORES</w:t>
      </w:r>
      <w:r w:rsidRPr="0076471C">
        <w:rPr>
          <w:rFonts w:ascii="Verdana" w:hAnsi="Verdana"/>
          <w:color w:val="231F20"/>
          <w:sz w:val="22"/>
          <w:szCs w:val="22"/>
        </w:rPr>
        <w:t xml:space="preserve">, PWS ID </w:t>
      </w:r>
      <w:r w:rsidRPr="0076471C">
        <w:rPr>
          <w:rFonts w:ascii="Verdana" w:hAnsi="Verdana"/>
          <w:b/>
          <w:color w:val="231F20"/>
          <w:sz w:val="22"/>
          <w:szCs w:val="22"/>
        </w:rPr>
        <w:t>TX1110004</w:t>
      </w:r>
      <w:r w:rsidRPr="0076471C">
        <w:rPr>
          <w:rFonts w:ascii="Verdana" w:hAnsi="Verdana"/>
          <w:color w:val="231F20"/>
          <w:sz w:val="22"/>
          <w:szCs w:val="22"/>
        </w:rPr>
        <w:t>, has violated the monitoring and reporting requirements set by Texas Commission on Environmental Quality (TCEQ) in Title 30, Texas Administrative Code (30 TAC), Section 290, Subchapter F. Public water systems that treat surface water and/or ground water under the direct influence of surface water are required to submit monthly operating reports with operational data of the treatment, disinfection and quality of the water provided to their customers.</w:t>
      </w:r>
    </w:p>
    <w:p w14:paraId="703A66BF" w14:textId="77777777" w:rsidR="0076471C" w:rsidRPr="0076471C" w:rsidRDefault="0076471C" w:rsidP="0076471C">
      <w:pPr>
        <w:pStyle w:val="BodyText"/>
        <w:spacing w:before="9"/>
        <w:ind w:right="-90"/>
        <w:jc w:val="both"/>
        <w:rPr>
          <w:rFonts w:ascii="Verdana" w:hAnsi="Verdana"/>
          <w:sz w:val="22"/>
          <w:szCs w:val="22"/>
        </w:rPr>
      </w:pPr>
    </w:p>
    <w:p w14:paraId="0B849C95" w14:textId="70E6E29F" w:rsidR="0076471C" w:rsidRPr="0076471C" w:rsidRDefault="0076471C" w:rsidP="0076471C">
      <w:pPr>
        <w:pStyle w:val="BodyText"/>
        <w:tabs>
          <w:tab w:val="left" w:pos="8871"/>
        </w:tabs>
        <w:spacing w:line="234" w:lineRule="exact"/>
        <w:ind w:right="-90"/>
        <w:jc w:val="both"/>
        <w:rPr>
          <w:rFonts w:ascii="Verdana" w:hAnsi="Verdana"/>
          <w:color w:val="231F20"/>
          <w:sz w:val="22"/>
          <w:szCs w:val="22"/>
          <w:u w:val="single" w:color="221E1F"/>
        </w:rPr>
      </w:pPr>
      <w:r w:rsidRPr="0076471C">
        <w:rPr>
          <w:rFonts w:ascii="Verdana" w:hAnsi="Verdana"/>
          <w:color w:val="231F20"/>
          <w:sz w:val="22"/>
          <w:szCs w:val="22"/>
        </w:rPr>
        <w:t>This violation</w:t>
      </w:r>
      <w:r w:rsidR="00D64F44">
        <w:rPr>
          <w:rFonts w:ascii="Verdana" w:hAnsi="Verdana"/>
          <w:color w:val="231F20"/>
          <w:sz w:val="22"/>
          <w:szCs w:val="22"/>
        </w:rPr>
        <w:t xml:space="preserve"> </w:t>
      </w:r>
      <w:r w:rsidRPr="0076471C">
        <w:rPr>
          <w:rFonts w:ascii="Verdana" w:hAnsi="Verdana"/>
          <w:color w:val="231F20"/>
          <w:sz w:val="22"/>
          <w:szCs w:val="22"/>
        </w:rPr>
        <w:t>occurred in the monitoring</w:t>
      </w:r>
      <w:r w:rsidRPr="0076471C">
        <w:rPr>
          <w:rFonts w:ascii="Verdana" w:hAnsi="Verdana"/>
          <w:color w:val="231F20"/>
          <w:spacing w:val="-17"/>
          <w:sz w:val="22"/>
          <w:szCs w:val="22"/>
        </w:rPr>
        <w:t xml:space="preserve"> </w:t>
      </w:r>
      <w:r w:rsidRPr="0076471C">
        <w:rPr>
          <w:rFonts w:ascii="Verdana" w:hAnsi="Verdana"/>
          <w:color w:val="231F20"/>
          <w:sz w:val="22"/>
          <w:szCs w:val="22"/>
        </w:rPr>
        <w:t>period</w:t>
      </w:r>
      <w:r w:rsidR="00D64F44">
        <w:rPr>
          <w:rFonts w:ascii="Verdana" w:hAnsi="Verdana"/>
          <w:color w:val="231F20"/>
          <w:sz w:val="22"/>
          <w:szCs w:val="22"/>
        </w:rPr>
        <w:t xml:space="preserve"> </w:t>
      </w:r>
      <w:r w:rsidRPr="0076471C">
        <w:rPr>
          <w:rFonts w:ascii="Verdana" w:hAnsi="Verdana"/>
          <w:color w:val="231F20"/>
          <w:sz w:val="22"/>
          <w:szCs w:val="22"/>
        </w:rPr>
        <w:t>SWMOR D</w:t>
      </w:r>
      <w:r w:rsidR="00D64F44">
        <w:rPr>
          <w:rFonts w:ascii="Verdana" w:hAnsi="Verdana"/>
          <w:color w:val="231F20"/>
          <w:sz w:val="22"/>
          <w:szCs w:val="22"/>
        </w:rPr>
        <w:t>ecember</w:t>
      </w:r>
      <w:r w:rsidRPr="0076471C">
        <w:rPr>
          <w:rFonts w:ascii="Verdana" w:hAnsi="Verdana"/>
          <w:color w:val="231F20"/>
          <w:sz w:val="22"/>
          <w:szCs w:val="22"/>
        </w:rPr>
        <w:t xml:space="preserve"> 2022; FOR 38</w:t>
      </w:r>
      <w:r w:rsidR="00D64F44">
        <w:rPr>
          <w:rFonts w:ascii="Verdana" w:hAnsi="Verdana"/>
          <w:color w:val="231F20"/>
          <w:sz w:val="22"/>
          <w:szCs w:val="22"/>
        </w:rPr>
        <w:t xml:space="preserve"> </w:t>
      </w:r>
      <w:r w:rsidRPr="0076471C">
        <w:rPr>
          <w:rFonts w:ascii="Verdana" w:hAnsi="Verdana"/>
          <w:color w:val="231F20"/>
          <w:sz w:val="22"/>
          <w:szCs w:val="22"/>
        </w:rPr>
        <w:t xml:space="preserve">(0300) </w:t>
      </w:r>
      <w:proofErr w:type="gramStart"/>
      <w:r w:rsidRPr="0076471C">
        <w:rPr>
          <w:rFonts w:ascii="Verdana" w:hAnsi="Verdana"/>
          <w:color w:val="231F20"/>
          <w:sz w:val="22"/>
          <w:szCs w:val="22"/>
        </w:rPr>
        <w:t>INDIVIDUAL</w:t>
      </w:r>
      <w:proofErr w:type="gramEnd"/>
      <w:r w:rsidRPr="0076471C">
        <w:rPr>
          <w:rFonts w:ascii="Verdana" w:hAnsi="Verdana"/>
          <w:color w:val="231F20"/>
          <w:sz w:val="22"/>
          <w:szCs w:val="22"/>
        </w:rPr>
        <w:t xml:space="preserve"> ONLY - </w:t>
      </w:r>
      <w:r w:rsidRPr="0076471C">
        <w:rPr>
          <w:rFonts w:ascii="Verdana" w:hAnsi="Verdana"/>
          <w:color w:val="231F20"/>
          <w:sz w:val="22"/>
          <w:szCs w:val="22"/>
          <w:u w:val="single" w:color="221E1F"/>
        </w:rPr>
        <w:t>SEE BELOW:</w:t>
      </w:r>
    </w:p>
    <w:p w14:paraId="7977C8E2" w14:textId="77777777" w:rsidR="0076471C" w:rsidRPr="0076471C" w:rsidRDefault="0076471C" w:rsidP="0076471C">
      <w:pPr>
        <w:pStyle w:val="BodyText"/>
        <w:tabs>
          <w:tab w:val="left" w:pos="8871"/>
        </w:tabs>
        <w:spacing w:line="234" w:lineRule="exact"/>
        <w:ind w:left="119"/>
        <w:jc w:val="both"/>
        <w:rPr>
          <w:rFonts w:ascii="Verdana" w:hAnsi="Verdana"/>
          <w:color w:val="231F20"/>
          <w:sz w:val="22"/>
          <w:szCs w:val="22"/>
          <w:u w:val="single" w:color="221E1F"/>
        </w:rPr>
      </w:pPr>
    </w:p>
    <w:p w14:paraId="03626E42" w14:textId="77777777" w:rsidR="0076471C" w:rsidRPr="0076471C" w:rsidRDefault="0076471C" w:rsidP="0076471C">
      <w:pPr>
        <w:pStyle w:val="BodyText"/>
        <w:jc w:val="both"/>
        <w:rPr>
          <w:rFonts w:ascii="Verdana" w:hAnsi="Verdana" w:cs="Arial"/>
          <w:b/>
          <w:bCs/>
          <w:color w:val="000000"/>
          <w:sz w:val="22"/>
          <w:szCs w:val="22"/>
        </w:rPr>
      </w:pPr>
      <w:r w:rsidRPr="0076471C">
        <w:rPr>
          <w:rFonts w:ascii="Verdana" w:hAnsi="Verdana" w:cs="Arial"/>
          <w:b/>
          <w:bCs/>
          <w:color w:val="000000"/>
          <w:sz w:val="22"/>
          <w:szCs w:val="22"/>
        </w:rPr>
        <w:t>MONITORING AND REPORTING VIOLATIONS:</w:t>
      </w:r>
    </w:p>
    <w:p w14:paraId="722C79AB" w14:textId="77777777" w:rsidR="0076471C" w:rsidRPr="0076471C" w:rsidRDefault="0076471C" w:rsidP="0076471C">
      <w:pPr>
        <w:jc w:val="both"/>
        <w:rPr>
          <w:rFonts w:ascii="Verdana" w:hAnsi="Verdana"/>
        </w:rPr>
      </w:pPr>
    </w:p>
    <w:tbl>
      <w:tblPr>
        <w:tblStyle w:val="TableGrid1"/>
        <w:tblW w:w="0" w:type="auto"/>
        <w:jc w:val="center"/>
        <w:tblLook w:val="04A0" w:firstRow="1" w:lastRow="0" w:firstColumn="1" w:lastColumn="0" w:noHBand="0" w:noVBand="1"/>
      </w:tblPr>
      <w:tblGrid>
        <w:gridCol w:w="1823"/>
        <w:gridCol w:w="1786"/>
        <w:gridCol w:w="1807"/>
      </w:tblGrid>
      <w:tr w:rsidR="0076471C" w:rsidRPr="0076471C" w14:paraId="12CC30EC" w14:textId="77777777" w:rsidTr="0076471C">
        <w:trPr>
          <w:jc w:val="center"/>
        </w:trPr>
        <w:tc>
          <w:tcPr>
            <w:tcW w:w="1823" w:type="dxa"/>
          </w:tcPr>
          <w:p w14:paraId="2F448EF5" w14:textId="77777777" w:rsidR="0076471C" w:rsidRPr="0076471C" w:rsidRDefault="0076471C" w:rsidP="0076471C">
            <w:pPr>
              <w:jc w:val="both"/>
              <w:rPr>
                <w:rFonts w:ascii="Verdana" w:eastAsia="Calibri" w:hAnsi="Verdana"/>
                <w:b/>
              </w:rPr>
            </w:pPr>
            <w:bookmarkStart w:id="0" w:name="_Hlk108096655"/>
            <w:r w:rsidRPr="0076471C">
              <w:rPr>
                <w:rFonts w:ascii="Verdana" w:eastAsia="Calibri" w:hAnsi="Verdana"/>
                <w:b/>
              </w:rPr>
              <w:t>Violation Type</w:t>
            </w:r>
          </w:p>
        </w:tc>
        <w:tc>
          <w:tcPr>
            <w:tcW w:w="1786" w:type="dxa"/>
          </w:tcPr>
          <w:p w14:paraId="742D0DF7" w14:textId="77777777" w:rsidR="0076471C" w:rsidRPr="0076471C" w:rsidRDefault="0076471C" w:rsidP="0076471C">
            <w:pPr>
              <w:jc w:val="both"/>
              <w:rPr>
                <w:rFonts w:ascii="Verdana" w:eastAsia="Calibri" w:hAnsi="Verdana"/>
                <w:b/>
              </w:rPr>
            </w:pPr>
            <w:r w:rsidRPr="0076471C">
              <w:rPr>
                <w:rFonts w:ascii="Verdana" w:eastAsia="Calibri" w:hAnsi="Verdana"/>
                <w:b/>
              </w:rPr>
              <w:t>Analyte Code</w:t>
            </w:r>
          </w:p>
        </w:tc>
        <w:tc>
          <w:tcPr>
            <w:tcW w:w="1807" w:type="dxa"/>
          </w:tcPr>
          <w:p w14:paraId="7F7DA913" w14:textId="77777777" w:rsidR="0076471C" w:rsidRPr="0076471C" w:rsidRDefault="0076471C" w:rsidP="0076471C">
            <w:pPr>
              <w:jc w:val="both"/>
              <w:rPr>
                <w:rFonts w:ascii="Verdana" w:eastAsia="Calibri" w:hAnsi="Verdana"/>
                <w:b/>
              </w:rPr>
            </w:pPr>
            <w:r w:rsidRPr="0076471C">
              <w:rPr>
                <w:rFonts w:ascii="Verdana" w:eastAsia="Calibri" w:hAnsi="Verdana"/>
                <w:b/>
              </w:rPr>
              <w:t>Violation ID</w:t>
            </w:r>
          </w:p>
        </w:tc>
      </w:tr>
      <w:tr w:rsidR="0076471C" w:rsidRPr="0076471C" w14:paraId="73A81F13" w14:textId="77777777" w:rsidTr="0076471C">
        <w:trPr>
          <w:jc w:val="center"/>
        </w:trPr>
        <w:tc>
          <w:tcPr>
            <w:tcW w:w="1823" w:type="dxa"/>
          </w:tcPr>
          <w:p w14:paraId="3E7D7A51" w14:textId="77777777" w:rsidR="0076471C" w:rsidRPr="0076471C" w:rsidRDefault="0076471C" w:rsidP="0076471C">
            <w:pPr>
              <w:jc w:val="both"/>
              <w:rPr>
                <w:rFonts w:ascii="Verdana" w:eastAsia="Calibri" w:hAnsi="Verdana"/>
                <w:bCs/>
              </w:rPr>
            </w:pPr>
            <w:r w:rsidRPr="0076471C">
              <w:rPr>
                <w:rFonts w:ascii="Verdana" w:eastAsia="Calibri" w:hAnsi="Verdana"/>
                <w:bCs/>
              </w:rPr>
              <w:t>38</w:t>
            </w:r>
          </w:p>
        </w:tc>
        <w:tc>
          <w:tcPr>
            <w:tcW w:w="1786" w:type="dxa"/>
          </w:tcPr>
          <w:p w14:paraId="6ECA522F" w14:textId="77777777" w:rsidR="0076471C" w:rsidRPr="0076471C" w:rsidRDefault="0076471C" w:rsidP="0076471C">
            <w:pPr>
              <w:jc w:val="both"/>
              <w:rPr>
                <w:rFonts w:ascii="Verdana" w:eastAsia="Calibri" w:hAnsi="Verdana"/>
                <w:bCs/>
              </w:rPr>
            </w:pPr>
            <w:r w:rsidRPr="0076471C">
              <w:rPr>
                <w:rFonts w:ascii="Verdana" w:eastAsia="Calibri" w:hAnsi="Verdana"/>
                <w:bCs/>
              </w:rPr>
              <w:t>0300</w:t>
            </w:r>
          </w:p>
        </w:tc>
        <w:tc>
          <w:tcPr>
            <w:tcW w:w="1807" w:type="dxa"/>
          </w:tcPr>
          <w:p w14:paraId="62BFD054" w14:textId="77777777" w:rsidR="0076471C" w:rsidRPr="0076471C" w:rsidRDefault="0076471C" w:rsidP="0076471C">
            <w:pPr>
              <w:jc w:val="both"/>
              <w:rPr>
                <w:rFonts w:ascii="Verdana" w:eastAsia="Calibri" w:hAnsi="Verdana"/>
                <w:bCs/>
              </w:rPr>
            </w:pPr>
            <w:r w:rsidRPr="0076471C">
              <w:rPr>
                <w:rFonts w:ascii="Verdana" w:eastAsia="Calibri" w:hAnsi="Verdana"/>
                <w:bCs/>
              </w:rPr>
              <w:t>2457</w:t>
            </w:r>
          </w:p>
        </w:tc>
      </w:tr>
    </w:tbl>
    <w:p w14:paraId="13BCFFB6" w14:textId="77777777" w:rsidR="0076471C" w:rsidRPr="0076471C" w:rsidRDefault="0076471C" w:rsidP="0076471C">
      <w:pPr>
        <w:jc w:val="both"/>
        <w:rPr>
          <w:rFonts w:ascii="Verdana" w:hAnsi="Verdana"/>
        </w:rPr>
      </w:pPr>
    </w:p>
    <w:bookmarkEnd w:id="0"/>
    <w:p w14:paraId="54AA9A7E" w14:textId="77777777" w:rsidR="0076471C" w:rsidRPr="0076471C" w:rsidRDefault="0076471C" w:rsidP="0076471C">
      <w:pPr>
        <w:pStyle w:val="BodyText"/>
        <w:spacing w:line="237" w:lineRule="auto"/>
        <w:ind w:right="129"/>
        <w:jc w:val="both"/>
        <w:rPr>
          <w:rFonts w:ascii="Verdana" w:hAnsi="Verdana"/>
          <w:sz w:val="22"/>
          <w:szCs w:val="22"/>
        </w:rPr>
      </w:pPr>
      <w:r w:rsidRPr="0076471C">
        <w:rPr>
          <w:rFonts w:ascii="Verdana" w:hAnsi="Verdana"/>
          <w:color w:val="231F20"/>
          <w:sz w:val="22"/>
          <w:szCs w:val="22"/>
        </w:rPr>
        <w:t xml:space="preserve">Results of regular monitoring are an indicator of </w:t>
      </w:r>
      <w:proofErr w:type="gramStart"/>
      <w:r w:rsidRPr="0076471C">
        <w:rPr>
          <w:rFonts w:ascii="Verdana" w:hAnsi="Verdana"/>
          <w:color w:val="231F20"/>
          <w:sz w:val="22"/>
          <w:szCs w:val="22"/>
        </w:rPr>
        <w:t>whether or not</w:t>
      </w:r>
      <w:proofErr w:type="gramEnd"/>
      <w:r w:rsidRPr="0076471C">
        <w:rPr>
          <w:rFonts w:ascii="Verdana" w:hAnsi="Verdana"/>
          <w:color w:val="231F20"/>
          <w:sz w:val="22"/>
          <w:szCs w:val="22"/>
        </w:rPr>
        <w:t xml:space="preserve"> your drinking water is safe. We did not complete all monitoring and/or reporting for surface water constituents, and therefore TCEQ cannot be sure of the safety of your drinking water during that time.</w:t>
      </w:r>
    </w:p>
    <w:p w14:paraId="26B504D9"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p>
    <w:p w14:paraId="19014069" w14:textId="77777777" w:rsidR="00ED3B9C" w:rsidRPr="000729FA"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r w:rsidRPr="00461F51">
        <w:rPr>
          <w:rFonts w:ascii="Verdana" w:hAnsi="Verdana" w:cs="Georgia"/>
          <w:w w:val="102"/>
        </w:rPr>
        <w:t>What is being done?</w:t>
      </w:r>
    </w:p>
    <w:p w14:paraId="39D80B99" w14:textId="7C777FFE" w:rsidR="00461F51" w:rsidRPr="00461F51" w:rsidRDefault="009C2A94"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r>
        <w:rPr>
          <w:rFonts w:ascii="Verdana" w:hAnsi="Verdana" w:cs="Georgia"/>
          <w:w w:val="102"/>
          <w:u w:val="single"/>
        </w:rPr>
        <w:t xml:space="preserve">Due to an administrative error </w:t>
      </w:r>
      <w:r>
        <w:rPr>
          <w:rFonts w:ascii="Verdana" w:hAnsi="Verdana" w:cs="Georgia"/>
          <w:w w:val="102"/>
          <w:u w:val="single"/>
        </w:rPr>
        <w:t>the Surface Water Monitoring Report was not submitted</w:t>
      </w:r>
      <w:r>
        <w:rPr>
          <w:rFonts w:ascii="Verdana" w:hAnsi="Verdana" w:cs="Georgia"/>
          <w:w w:val="102"/>
          <w:u w:val="single"/>
        </w:rPr>
        <w:t xml:space="preserve"> to the TCEQ</w:t>
      </w:r>
      <w:r>
        <w:rPr>
          <w:rFonts w:ascii="Verdana" w:hAnsi="Verdana" w:cs="Georgia"/>
          <w:w w:val="102"/>
          <w:u w:val="single"/>
        </w:rPr>
        <w:t xml:space="preserve"> within the compliance period</w:t>
      </w:r>
      <w:r>
        <w:rPr>
          <w:rFonts w:ascii="Verdana" w:hAnsi="Verdana" w:cs="Georgia"/>
          <w:w w:val="102"/>
          <w:u w:val="single"/>
        </w:rPr>
        <w:t xml:space="preserve">. </w:t>
      </w:r>
      <w:proofErr w:type="gramStart"/>
      <w:r>
        <w:rPr>
          <w:rFonts w:ascii="Verdana" w:hAnsi="Verdana" w:cs="Georgia"/>
          <w:w w:val="102"/>
          <w:u w:val="single"/>
        </w:rPr>
        <w:t>Standard</w:t>
      </w:r>
      <w:proofErr w:type="gramEnd"/>
      <w:r>
        <w:rPr>
          <w:rFonts w:ascii="Verdana" w:hAnsi="Verdana" w:cs="Georgia"/>
          <w:w w:val="102"/>
          <w:u w:val="single"/>
        </w:rPr>
        <w:t xml:space="preserve"> Operating Procedure has been reviewed with staff and all reporting has been completed during the compliance period</w:t>
      </w:r>
      <w:r>
        <w:rPr>
          <w:rFonts w:ascii="Verdana" w:hAnsi="Verdana" w:cs="Georgia"/>
          <w:w w:val="102"/>
          <w:u w:val="single"/>
        </w:rPr>
        <w:t>.</w:t>
      </w:r>
      <w:r w:rsidR="00461F51" w:rsidRPr="00461F51">
        <w:rPr>
          <w:rFonts w:ascii="Verdana" w:hAnsi="Verdana" w:cs="Georgia"/>
          <w:w w:val="102"/>
          <w:u w:val="single"/>
        </w:rPr>
        <w:tab/>
      </w:r>
    </w:p>
    <w:p w14:paraId="3041BFE7"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p>
    <w:p w14:paraId="5D91901A" w14:textId="7C3BA7F3" w:rsidR="005C6D02" w:rsidRPr="005C6D02" w:rsidRDefault="005C6D02" w:rsidP="000729FA">
      <w:pPr>
        <w:widowControl w:val="0"/>
        <w:spacing w:line="252" w:lineRule="exact"/>
        <w:jc w:val="both"/>
        <w:rPr>
          <w:rFonts w:ascii="Verdana" w:hAnsi="Verdana" w:cs="Georgia"/>
          <w:color w:val="000000"/>
        </w:rPr>
      </w:pPr>
      <w:r w:rsidRPr="005C6D02">
        <w:rPr>
          <w:rFonts w:ascii="Verdana"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452162E" w14:textId="77777777" w:rsidR="00AC6C37" w:rsidRDefault="005C6D02" w:rsidP="000729FA">
      <w:pPr>
        <w:widowControl w:val="0"/>
        <w:spacing w:line="252" w:lineRule="exact"/>
        <w:jc w:val="both"/>
        <w:rPr>
          <w:rFonts w:ascii="Verdana" w:hAnsi="Verdana" w:cs="Georgia"/>
          <w:color w:val="000000"/>
        </w:rPr>
      </w:pPr>
      <w:r w:rsidRPr="005C6D02">
        <w:rPr>
          <w:rFonts w:ascii="Verdana" w:hAnsi="Verdana" w:cs="Georgia"/>
          <w:color w:val="000000"/>
        </w:rPr>
        <w:t>If you have questions regarding this matter, you may contact Chuck Barry at (512) 531-6271.</w:t>
      </w:r>
      <w:r w:rsidR="00AC6C37">
        <w:rPr>
          <w:rFonts w:ascii="Verdana" w:hAnsi="Verdana" w:cs="Georgia"/>
        </w:rPr>
        <w:tab/>
      </w:r>
    </w:p>
    <w:p w14:paraId="420C7ED0" w14:textId="77777777" w:rsidR="009C2A94" w:rsidRPr="009C2A94" w:rsidRDefault="009C2A94" w:rsidP="009C2A94">
      <w:pPr>
        <w:rPr>
          <w:rFonts w:ascii="Verdana" w:hAnsi="Verdana" w:cs="Georgia"/>
        </w:rPr>
      </w:pPr>
    </w:p>
    <w:p w14:paraId="18F7E83D" w14:textId="77777777" w:rsidR="009C2A94" w:rsidRPr="009C2A94" w:rsidRDefault="009C2A94" w:rsidP="009C2A94">
      <w:pPr>
        <w:rPr>
          <w:rFonts w:ascii="Verdana" w:hAnsi="Verdana" w:cs="Georgia"/>
        </w:rPr>
      </w:pPr>
    </w:p>
    <w:p w14:paraId="6D46CFB5" w14:textId="509B3895" w:rsidR="009C2A94" w:rsidRPr="009C2A94" w:rsidRDefault="009C2A94" w:rsidP="009C2A94">
      <w:pPr>
        <w:tabs>
          <w:tab w:val="left" w:pos="9465"/>
        </w:tabs>
        <w:rPr>
          <w:rFonts w:ascii="Verdana" w:hAnsi="Verdana" w:cs="Georgia"/>
        </w:rPr>
      </w:pPr>
      <w:r>
        <w:rPr>
          <w:rFonts w:ascii="Verdana" w:hAnsi="Verdana" w:cs="Georgia"/>
        </w:rPr>
        <w:tab/>
      </w:r>
    </w:p>
    <w:sectPr w:rsidR="009C2A94" w:rsidRPr="009C2A94" w:rsidSect="00A26B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7C5C3" w14:textId="77777777" w:rsidR="00A26BF1" w:rsidRDefault="00A26BF1" w:rsidP="00B429E3">
      <w:pPr>
        <w:spacing w:after="0" w:line="240" w:lineRule="auto"/>
      </w:pPr>
      <w:r>
        <w:separator/>
      </w:r>
    </w:p>
  </w:endnote>
  <w:endnote w:type="continuationSeparator" w:id="0">
    <w:p w14:paraId="30A08DCE" w14:textId="77777777" w:rsidR="00A26BF1" w:rsidRDefault="00A26BF1"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A5FBA" w14:textId="784FDFC3" w:rsidR="00B17274" w:rsidRDefault="00B17274">
    <w:pPr>
      <w:pStyle w:val="Footer"/>
    </w:pPr>
    <w:r>
      <w:t xml:space="preserve">Public Water Systems ID# </w:t>
    </w:r>
    <w:r w:rsidR="0091636B">
      <w:t>TX</w:t>
    </w:r>
    <w:r w:rsidR="00592A77">
      <w:t>1110004</w:t>
    </w:r>
    <w:r>
      <w:t xml:space="preserve">                                                                                      </w:t>
    </w:r>
    <w:r w:rsidR="00F028F9">
      <w:t>Posted/Delivered</w:t>
    </w:r>
    <w:r>
      <w:t xml:space="preserve"> </w:t>
    </w:r>
    <w:r w:rsidR="009C2A94">
      <w:t>May</w:t>
    </w:r>
    <w:r w:rsidR="00327CD2">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00CB0" w14:textId="77777777" w:rsidR="00A26BF1" w:rsidRDefault="00A26BF1" w:rsidP="00B429E3">
      <w:pPr>
        <w:spacing w:after="0" w:line="240" w:lineRule="auto"/>
      </w:pPr>
      <w:r>
        <w:separator/>
      </w:r>
    </w:p>
  </w:footnote>
  <w:footnote w:type="continuationSeparator" w:id="0">
    <w:p w14:paraId="5330819A" w14:textId="77777777" w:rsidR="00A26BF1" w:rsidRDefault="00A26BF1"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D3DA" w14:textId="4C57E21F" w:rsidR="00B429E3" w:rsidRDefault="00327CD2">
    <w:pPr>
      <w:pStyle w:val="Header"/>
    </w:pPr>
    <w:r>
      <w:rPr>
        <w:noProof/>
      </w:rPr>
      <w:drawing>
        <wp:anchor distT="0" distB="0" distL="114300" distR="114300" simplePos="0" relativeHeight="251659264" behindDoc="0" locked="0" layoutInCell="1" allowOverlap="1" wp14:anchorId="628A9BCC" wp14:editId="56579B34">
          <wp:simplePos x="0" y="0"/>
          <wp:positionH relativeFrom="column">
            <wp:posOffset>4505325</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106E2B37" w14:textId="77777777" w:rsidR="00B429E3" w:rsidRDefault="00B429E3">
    <w:pPr>
      <w:pStyle w:val="Header"/>
    </w:pPr>
  </w:p>
  <w:p w14:paraId="6D7C885D" w14:textId="77777777" w:rsidR="00B429E3" w:rsidRDefault="00B429E3">
    <w:pPr>
      <w:pStyle w:val="Header"/>
    </w:pPr>
  </w:p>
  <w:p w14:paraId="5D883824"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234247147">
    <w:abstractNumId w:val="1"/>
  </w:num>
  <w:num w:numId="2" w16cid:durableId="160518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14AA9"/>
    <w:rsid w:val="000729FA"/>
    <w:rsid w:val="000A06D3"/>
    <w:rsid w:val="000A7BCF"/>
    <w:rsid w:val="000B1CF7"/>
    <w:rsid w:val="000D77F3"/>
    <w:rsid w:val="000F3D1A"/>
    <w:rsid w:val="0014769C"/>
    <w:rsid w:val="00166D03"/>
    <w:rsid w:val="001A27CC"/>
    <w:rsid w:val="001E53F1"/>
    <w:rsid w:val="0020570A"/>
    <w:rsid w:val="00284A62"/>
    <w:rsid w:val="00296222"/>
    <w:rsid w:val="002D4F3A"/>
    <w:rsid w:val="002D69CF"/>
    <w:rsid w:val="002F6E4D"/>
    <w:rsid w:val="00307C7B"/>
    <w:rsid w:val="00327CD2"/>
    <w:rsid w:val="003870DD"/>
    <w:rsid w:val="00394963"/>
    <w:rsid w:val="003B3854"/>
    <w:rsid w:val="003E50A0"/>
    <w:rsid w:val="004010AA"/>
    <w:rsid w:val="00406EBC"/>
    <w:rsid w:val="00413856"/>
    <w:rsid w:val="00437E55"/>
    <w:rsid w:val="00444BE9"/>
    <w:rsid w:val="004532E2"/>
    <w:rsid w:val="00461F51"/>
    <w:rsid w:val="00466818"/>
    <w:rsid w:val="00470BE3"/>
    <w:rsid w:val="004827DD"/>
    <w:rsid w:val="004C45C1"/>
    <w:rsid w:val="004C748B"/>
    <w:rsid w:val="004F1541"/>
    <w:rsid w:val="00501522"/>
    <w:rsid w:val="00520BD4"/>
    <w:rsid w:val="005848C8"/>
    <w:rsid w:val="00592A77"/>
    <w:rsid w:val="005C6D02"/>
    <w:rsid w:val="005F3E25"/>
    <w:rsid w:val="006142E1"/>
    <w:rsid w:val="00651DD8"/>
    <w:rsid w:val="00690C28"/>
    <w:rsid w:val="006C5D9A"/>
    <w:rsid w:val="006C6653"/>
    <w:rsid w:val="006F0EDC"/>
    <w:rsid w:val="006F414F"/>
    <w:rsid w:val="006F4BF3"/>
    <w:rsid w:val="00733924"/>
    <w:rsid w:val="0076471C"/>
    <w:rsid w:val="00804FE3"/>
    <w:rsid w:val="0091636B"/>
    <w:rsid w:val="00933ACA"/>
    <w:rsid w:val="00954CD1"/>
    <w:rsid w:val="0097436B"/>
    <w:rsid w:val="0099365C"/>
    <w:rsid w:val="009C2A94"/>
    <w:rsid w:val="009D44ED"/>
    <w:rsid w:val="00A116B2"/>
    <w:rsid w:val="00A2124D"/>
    <w:rsid w:val="00A26BF1"/>
    <w:rsid w:val="00A31F93"/>
    <w:rsid w:val="00A724F3"/>
    <w:rsid w:val="00A73146"/>
    <w:rsid w:val="00A75C06"/>
    <w:rsid w:val="00A90D3B"/>
    <w:rsid w:val="00AC6C37"/>
    <w:rsid w:val="00B17274"/>
    <w:rsid w:val="00B41A10"/>
    <w:rsid w:val="00B429E3"/>
    <w:rsid w:val="00B93191"/>
    <w:rsid w:val="00BB420D"/>
    <w:rsid w:val="00BC4BB3"/>
    <w:rsid w:val="00BC69FC"/>
    <w:rsid w:val="00C23D88"/>
    <w:rsid w:val="00C35020"/>
    <w:rsid w:val="00C40A0E"/>
    <w:rsid w:val="00C90977"/>
    <w:rsid w:val="00C953B0"/>
    <w:rsid w:val="00CB0C37"/>
    <w:rsid w:val="00CD2BE0"/>
    <w:rsid w:val="00D25DEE"/>
    <w:rsid w:val="00D341D6"/>
    <w:rsid w:val="00D42AF6"/>
    <w:rsid w:val="00D64F44"/>
    <w:rsid w:val="00D7768B"/>
    <w:rsid w:val="00D84DE3"/>
    <w:rsid w:val="00E35838"/>
    <w:rsid w:val="00E754AF"/>
    <w:rsid w:val="00E95A37"/>
    <w:rsid w:val="00EA24B2"/>
    <w:rsid w:val="00ED3B9C"/>
    <w:rsid w:val="00EF1006"/>
    <w:rsid w:val="00F028F9"/>
    <w:rsid w:val="00F329DF"/>
    <w:rsid w:val="00F421E6"/>
    <w:rsid w:val="00F42A8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3E1"/>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EA24B2"/>
    <w:rPr>
      <w:rFonts w:ascii="Georgia" w:eastAsia="Times New Roman" w:hAnsi="Georg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6471C"/>
    <w:pPr>
      <w:widowControl w:val="0"/>
      <w:autoSpaceDE w:val="0"/>
      <w:autoSpaceDN w:val="0"/>
      <w:spacing w:after="0" w:line="240" w:lineRule="auto"/>
    </w:pPr>
    <w:rPr>
      <w:rFonts w:ascii="Lucida Bright" w:eastAsia="Lucida Bright" w:hAnsi="Lucida Bright" w:cs="Lucida Bright"/>
      <w:sz w:val="20"/>
      <w:szCs w:val="20"/>
    </w:rPr>
  </w:style>
  <w:style w:type="character" w:customStyle="1" w:styleId="BodyTextChar">
    <w:name w:val="Body Text Char"/>
    <w:basedOn w:val="DefaultParagraphFont"/>
    <w:link w:val="BodyText"/>
    <w:rsid w:val="0076471C"/>
    <w:rPr>
      <w:rFonts w:ascii="Lucida Bright" w:eastAsia="Lucida Bright" w:hAnsi="Lucida Bright" w:cs="Lucida Bright"/>
    </w:rPr>
  </w:style>
  <w:style w:type="table" w:customStyle="1" w:styleId="TableGrid1">
    <w:name w:val="Table Grid1"/>
    <w:basedOn w:val="TableNormal"/>
    <w:next w:val="TableGrid"/>
    <w:uiPriority w:val="59"/>
    <w:rsid w:val="007647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088">
      <w:bodyDiv w:val="1"/>
      <w:marLeft w:val="0"/>
      <w:marRight w:val="0"/>
      <w:marTop w:val="0"/>
      <w:marBottom w:val="0"/>
      <w:divBdr>
        <w:top w:val="none" w:sz="0" w:space="0" w:color="auto"/>
        <w:left w:val="none" w:sz="0" w:space="0" w:color="auto"/>
        <w:bottom w:val="none" w:sz="0" w:space="0" w:color="auto"/>
        <w:right w:val="none" w:sz="0" w:space="0" w:color="auto"/>
      </w:divBdr>
    </w:div>
    <w:div w:id="1324816062">
      <w:bodyDiv w:val="1"/>
      <w:marLeft w:val="0"/>
      <w:marRight w:val="0"/>
      <w:marTop w:val="0"/>
      <w:marBottom w:val="0"/>
      <w:divBdr>
        <w:top w:val="none" w:sz="0" w:space="0" w:color="auto"/>
        <w:left w:val="none" w:sz="0" w:space="0" w:color="auto"/>
        <w:bottom w:val="none" w:sz="0" w:space="0" w:color="auto"/>
        <w:right w:val="none" w:sz="0" w:space="0" w:color="auto"/>
      </w:divBdr>
    </w:div>
    <w:div w:id="19441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2024-05-21T21:17:00Z</dcterms:created>
  <dcterms:modified xsi:type="dcterms:W3CDTF">2024-05-21T21:17:00Z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1978b-6c9a-4677-b2e3-65b9a18b2c3a_Enabled">
    <vt:lpwstr>true</vt:lpwstr>
  </property>
  <property fmtid="{D5CDD505-2E9C-101B-9397-08002B2CF9AE}" pid="3" name="MSIP_Label_c6f1978b-6c9a-4677-b2e3-65b9a18b2c3a_SetDate">
    <vt:lpwstr>2024-04-23T20:27:00Z</vt:lpwstr>
  </property>
  <property fmtid="{D5CDD505-2E9C-101B-9397-08002B2CF9AE}" pid="4" name="MSIP_Label_c6f1978b-6c9a-4677-b2e3-65b9a18b2c3a_Method">
    <vt:lpwstr>Standard</vt:lpwstr>
  </property>
  <property fmtid="{D5CDD505-2E9C-101B-9397-08002B2CF9AE}" pid="5" name="MSIP_Label_c6f1978b-6c9a-4677-b2e3-65b9a18b2c3a_Name">
    <vt:lpwstr>defa4170-0d19-0005-0004-bc88714345d2</vt:lpwstr>
  </property>
  <property fmtid="{D5CDD505-2E9C-101B-9397-08002B2CF9AE}" pid="6" name="MSIP_Label_c6f1978b-6c9a-4677-b2e3-65b9a18b2c3a_SiteId">
    <vt:lpwstr>4481f9f4-d581-49bd-a706-22854e5e971f</vt:lpwstr>
  </property>
  <property fmtid="{D5CDD505-2E9C-101B-9397-08002B2CF9AE}" pid="7" name="MSIP_Label_c6f1978b-6c9a-4677-b2e3-65b9a18b2c3a_ActionId">
    <vt:lpwstr>77b323e8-1df6-43ac-98f6-6e08d2e5a4a4</vt:lpwstr>
  </property>
  <property fmtid="{D5CDD505-2E9C-101B-9397-08002B2CF9AE}" pid="8" name="MSIP_Label_c6f1978b-6c9a-4677-b2e3-65b9a18b2c3a_ContentBits">
    <vt:lpwstr>0</vt:lpwstr>
  </property>
</Properties>
</file>