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4C1E" w14:textId="77777777" w:rsidR="00B17274" w:rsidRDefault="00B17274" w:rsidP="005C6D02">
      <w:pPr>
        <w:widowControl w:val="0"/>
        <w:autoSpaceDE w:val="0"/>
        <w:autoSpaceDN w:val="0"/>
        <w:adjustRightInd w:val="0"/>
        <w:spacing w:after="0"/>
        <w:rPr>
          <w:rFonts w:ascii="Verdana" w:hAnsi="Verdana"/>
          <w:b/>
          <w:bCs/>
          <w:spacing w:val="23"/>
          <w:sz w:val="20"/>
          <w:szCs w:val="20"/>
        </w:rPr>
      </w:pPr>
    </w:p>
    <w:p w14:paraId="635B0658" w14:textId="77777777" w:rsidR="005C6D02" w:rsidRPr="005C6D02" w:rsidRDefault="0042161B" w:rsidP="005C6D02">
      <w:pPr>
        <w:widowControl w:val="0"/>
        <w:tabs>
          <w:tab w:val="center" w:pos="5039"/>
        </w:tabs>
        <w:spacing w:line="274" w:lineRule="exact"/>
        <w:jc w:val="center"/>
        <w:rPr>
          <w:rFonts w:ascii="Verdana" w:hAnsi="Verdana" w:cs="Georgia"/>
          <w:b/>
          <w:bCs/>
          <w:color w:val="000000"/>
        </w:rPr>
      </w:pPr>
      <w:r>
        <w:rPr>
          <w:rFonts w:ascii="Verdana" w:hAnsi="Verdana" w:cs="Georgia"/>
          <w:b/>
          <w:bCs/>
          <w:color w:val="000000"/>
        </w:rPr>
        <w:t>Public Notice Mandatory Language for Monitoring and Reporting Violation</w:t>
      </w:r>
    </w:p>
    <w:p w14:paraId="360F49F1" w14:textId="77777777" w:rsidR="005C6D02" w:rsidRPr="005C6D02" w:rsidRDefault="00273140" w:rsidP="005C6D02">
      <w:pPr>
        <w:widowControl w:val="0"/>
        <w:tabs>
          <w:tab w:val="center" w:pos="5040"/>
        </w:tabs>
        <w:spacing w:line="274" w:lineRule="exact"/>
        <w:jc w:val="center"/>
        <w:rPr>
          <w:rFonts w:ascii="Verdana" w:hAnsi="Verdana" w:cs="Georgia"/>
          <w:b/>
          <w:bCs/>
          <w:color w:val="000000"/>
        </w:rPr>
      </w:pPr>
      <w:r>
        <w:rPr>
          <w:rFonts w:ascii="Verdana" w:hAnsi="Verdana" w:cs="Georgia"/>
          <w:b/>
          <w:bCs/>
          <w:color w:val="000000"/>
        </w:rPr>
        <w:t>Operational Evaluation Report</w:t>
      </w:r>
    </w:p>
    <w:p w14:paraId="03947294" w14:textId="4DF7289E" w:rsidR="005C6D02" w:rsidRDefault="00273140" w:rsidP="005C6D02">
      <w:pPr>
        <w:widowControl w:val="0"/>
        <w:spacing w:line="252" w:lineRule="exact"/>
        <w:jc w:val="both"/>
        <w:rPr>
          <w:rFonts w:ascii="Verdana" w:hAnsi="Verdana" w:cs="Georgia"/>
          <w:color w:val="000000"/>
        </w:rPr>
      </w:pPr>
      <w:r>
        <w:rPr>
          <w:rFonts w:ascii="Verdana" w:hAnsi="Verdana" w:cs="Georgia"/>
          <w:color w:val="000000"/>
        </w:rPr>
        <w:t xml:space="preserve">The </w:t>
      </w:r>
      <w:r w:rsidR="00E34C38">
        <w:rPr>
          <w:rFonts w:ascii="Verdana" w:hAnsi="Verdana" w:cs="Georgia"/>
          <w:color w:val="000000"/>
        </w:rPr>
        <w:t>Oak Trail Shores</w:t>
      </w:r>
      <w:r>
        <w:rPr>
          <w:rFonts w:ascii="Verdana" w:hAnsi="Verdana" w:cs="Georgia"/>
          <w:color w:val="000000"/>
        </w:rPr>
        <w:t xml:space="preserve"> water system PWS ID </w:t>
      </w:r>
      <w:r w:rsidR="00D0433A">
        <w:rPr>
          <w:rFonts w:ascii="Verdana" w:hAnsi="Verdana" w:cs="Georgia"/>
          <w:color w:val="000000"/>
        </w:rPr>
        <w:t>TX</w:t>
      </w:r>
      <w:r w:rsidR="00DD1AC6">
        <w:rPr>
          <w:rFonts w:ascii="Verdana" w:hAnsi="Verdana" w:cs="Georgia"/>
          <w:color w:val="000000"/>
        </w:rPr>
        <w:t>1110004</w:t>
      </w:r>
      <w:r w:rsidR="00D0433A">
        <w:rPr>
          <w:rFonts w:ascii="Verdana" w:hAnsi="Verdana" w:cs="Georgia"/>
          <w:color w:val="000000"/>
        </w:rPr>
        <w:t xml:space="preserve"> </w:t>
      </w:r>
      <w:r>
        <w:rPr>
          <w:rFonts w:ascii="Verdana" w:hAnsi="Verdana" w:cs="Georgia"/>
          <w:color w:val="000000"/>
        </w:rPr>
        <w:t xml:space="preserve">has violated the monitoring and reporting requirements set by the Texas Commission on Environmental Quality (TCEQ) in Chapter 30, Section </w:t>
      </w:r>
      <w:r w:rsidRPr="00273140">
        <w:rPr>
          <w:rFonts w:ascii="Verdana" w:hAnsi="Verdana" w:cs="Georgia"/>
          <w:color w:val="000000"/>
        </w:rPr>
        <w:t>§</w:t>
      </w:r>
      <w:r>
        <w:rPr>
          <w:rFonts w:ascii="Verdana" w:hAnsi="Verdana" w:cs="Georgia"/>
          <w:color w:val="000000"/>
        </w:rPr>
        <w:t xml:space="preserve">290, Subchapter F. Public water systems in exceedance of an operation evaluation level are required to conduct an evaluation of their source water, treatment and distribution operations and submit a report of their findings to the TCEQ. </w:t>
      </w:r>
    </w:p>
    <w:p w14:paraId="70FC4AF0" w14:textId="77777777" w:rsidR="005C6D02" w:rsidRPr="005C6D02" w:rsidRDefault="00273140" w:rsidP="005C6D02">
      <w:pPr>
        <w:widowControl w:val="0"/>
        <w:spacing w:line="252" w:lineRule="exact"/>
        <w:jc w:val="both"/>
        <w:rPr>
          <w:rFonts w:ascii="Verdana" w:hAnsi="Verdana" w:cs="Georgia"/>
          <w:color w:val="000000"/>
        </w:rPr>
      </w:pPr>
      <w:r>
        <w:rPr>
          <w:rFonts w:ascii="Verdana" w:hAnsi="Verdana" w:cs="Georgia"/>
          <w:color w:val="000000"/>
        </w:rPr>
        <w:t>We failed to conduct an operation evaluation and/or submit a report to the TCEQ</w:t>
      </w:r>
      <w:r w:rsidR="00A80950">
        <w:rPr>
          <w:rFonts w:ascii="Verdana" w:hAnsi="Verdana" w:cs="Georgia"/>
          <w:color w:val="000000"/>
        </w:rPr>
        <w:t xml:space="preserve"> by the required date</w:t>
      </w:r>
      <w:r w:rsidR="001D7BDC">
        <w:rPr>
          <w:rFonts w:ascii="Verdana" w:hAnsi="Verdana" w:cs="Georgia"/>
          <w:color w:val="000000"/>
        </w:rPr>
        <w:t>.</w:t>
      </w:r>
    </w:p>
    <w:p w14:paraId="19D3DBB7" w14:textId="6E6D91E8" w:rsidR="005C6D02" w:rsidRPr="005C6D02" w:rsidRDefault="00273140" w:rsidP="005C6D02">
      <w:pPr>
        <w:widowControl w:val="0"/>
        <w:spacing w:line="252" w:lineRule="exact"/>
        <w:jc w:val="both"/>
        <w:rPr>
          <w:rFonts w:ascii="Verdana" w:hAnsi="Verdana" w:cs="Georgia"/>
          <w:color w:val="000000"/>
        </w:rPr>
      </w:pPr>
      <w:r>
        <w:rPr>
          <w:rFonts w:ascii="Verdana" w:hAnsi="Verdana" w:cs="Georgia"/>
          <w:color w:val="000000"/>
        </w:rPr>
        <w:t xml:space="preserve">This violation occurred in the monitoring period </w:t>
      </w:r>
      <w:r w:rsidR="00D0433A">
        <w:rPr>
          <w:rFonts w:ascii="Verdana" w:hAnsi="Verdana" w:cs="Georgia"/>
          <w:color w:val="000000"/>
        </w:rPr>
        <w:t xml:space="preserve">quarter </w:t>
      </w:r>
      <w:r w:rsidR="000337FC">
        <w:rPr>
          <w:rFonts w:ascii="Verdana" w:hAnsi="Verdana" w:cs="Georgia"/>
          <w:color w:val="000000"/>
        </w:rPr>
        <w:t>one</w:t>
      </w:r>
      <w:r w:rsidR="00D0433A">
        <w:rPr>
          <w:rFonts w:ascii="Verdana" w:hAnsi="Verdana" w:cs="Georgia"/>
          <w:color w:val="000000"/>
        </w:rPr>
        <w:t xml:space="preserve"> 202</w:t>
      </w:r>
      <w:r w:rsidR="000337FC">
        <w:rPr>
          <w:rFonts w:ascii="Verdana" w:hAnsi="Verdana" w:cs="Georgia"/>
          <w:color w:val="000000"/>
        </w:rPr>
        <w:t>4</w:t>
      </w:r>
      <w:r>
        <w:rPr>
          <w:rFonts w:ascii="Verdana" w:hAnsi="Verdana" w:cs="Georgia"/>
          <w:color w:val="000000"/>
        </w:rPr>
        <w:t>.</w:t>
      </w:r>
    </w:p>
    <w:p w14:paraId="6FA0BF23" w14:textId="77777777" w:rsidR="005C6D02" w:rsidRPr="005C6D02" w:rsidRDefault="005C6D02" w:rsidP="005C6D02">
      <w:pPr>
        <w:jc w:val="both"/>
        <w:rPr>
          <w:rFonts w:ascii="Verdana" w:hAnsi="Verdana"/>
        </w:rPr>
      </w:pPr>
      <w:r w:rsidRPr="005C6D02">
        <w:rPr>
          <w:rFonts w:ascii="Verdana" w:hAnsi="Verdana"/>
        </w:rPr>
        <w:t>We are taking the following actions to address this issue:</w:t>
      </w:r>
    </w:p>
    <w:p w14:paraId="04D1A2BF" w14:textId="0DED8036" w:rsidR="005C6D02" w:rsidRPr="005C6D02" w:rsidRDefault="00F92DF2" w:rsidP="005C6D02">
      <w:pPr>
        <w:jc w:val="both"/>
        <w:rPr>
          <w:rFonts w:ascii="Verdana" w:hAnsi="Verdana"/>
          <w:u w:val="single"/>
        </w:rPr>
      </w:pPr>
      <w:r>
        <w:rPr>
          <w:rFonts w:ascii="Verdana" w:hAnsi="Verdana"/>
          <w:u w:val="single"/>
        </w:rPr>
        <w:t xml:space="preserve">The </w:t>
      </w:r>
      <w:r w:rsidR="000A7BCF">
        <w:rPr>
          <w:rFonts w:ascii="Verdana" w:hAnsi="Verdana"/>
          <w:u w:val="single"/>
        </w:rPr>
        <w:t>U</w:t>
      </w:r>
      <w:r>
        <w:rPr>
          <w:rFonts w:ascii="Verdana" w:hAnsi="Verdana"/>
          <w:u w:val="single"/>
        </w:rPr>
        <w:t xml:space="preserve">tility </w:t>
      </w:r>
      <w:r w:rsidR="001E53F1">
        <w:rPr>
          <w:rFonts w:ascii="Verdana" w:hAnsi="Verdana"/>
          <w:u w:val="single"/>
        </w:rPr>
        <w:t xml:space="preserve">completed </w:t>
      </w:r>
      <w:r w:rsidR="00273140">
        <w:rPr>
          <w:rFonts w:ascii="Verdana" w:hAnsi="Verdana"/>
          <w:u w:val="single"/>
        </w:rPr>
        <w:t xml:space="preserve">the </w:t>
      </w:r>
      <w:r w:rsidR="00D0433A">
        <w:rPr>
          <w:rFonts w:ascii="Verdana" w:hAnsi="Verdana"/>
          <w:u w:val="single"/>
        </w:rPr>
        <w:t>f</w:t>
      </w:r>
      <w:r w:rsidR="000337FC">
        <w:rPr>
          <w:rFonts w:ascii="Verdana" w:hAnsi="Verdana"/>
          <w:u w:val="single"/>
        </w:rPr>
        <w:t>irst</w:t>
      </w:r>
      <w:r w:rsidR="00D0433A">
        <w:rPr>
          <w:rFonts w:ascii="Verdana" w:hAnsi="Verdana"/>
          <w:u w:val="single"/>
        </w:rPr>
        <w:t xml:space="preserve"> quarter 202</w:t>
      </w:r>
      <w:r w:rsidR="000337FC">
        <w:rPr>
          <w:rFonts w:ascii="Verdana" w:hAnsi="Verdana"/>
          <w:u w:val="single"/>
        </w:rPr>
        <w:t>4</w:t>
      </w:r>
      <w:r w:rsidR="00273140">
        <w:rPr>
          <w:rFonts w:ascii="Verdana" w:hAnsi="Verdana"/>
          <w:u w:val="single"/>
        </w:rPr>
        <w:t xml:space="preserve"> operational evaluation report.</w:t>
      </w:r>
      <w:r w:rsidR="000337FC">
        <w:rPr>
          <w:rFonts w:ascii="Verdana" w:hAnsi="Verdana"/>
          <w:u w:val="single"/>
        </w:rPr>
        <w:t xml:space="preserve"> Due to an administrative error the report was not submitted to TCEQ until after the deadline.</w:t>
      </w:r>
      <w:r w:rsidR="000337FC">
        <w:rPr>
          <w:rFonts w:ascii="Verdana" w:hAnsi="Verdana"/>
          <w:u w:val="single"/>
        </w:rPr>
        <w:tab/>
      </w:r>
      <w:r w:rsidR="000337FC">
        <w:rPr>
          <w:rFonts w:ascii="Verdana" w:hAnsi="Verdana"/>
          <w:u w:val="single"/>
        </w:rPr>
        <w:tab/>
      </w:r>
      <w:r w:rsidR="000337FC">
        <w:rPr>
          <w:rFonts w:ascii="Verdana" w:hAnsi="Verdana"/>
          <w:u w:val="single"/>
        </w:rPr>
        <w:tab/>
      </w:r>
      <w:r w:rsidR="000337FC">
        <w:rPr>
          <w:rFonts w:ascii="Verdana" w:hAnsi="Verdana"/>
          <w:u w:val="single"/>
        </w:rPr>
        <w:tab/>
      </w:r>
      <w:r w:rsidR="00273140">
        <w:rPr>
          <w:rFonts w:ascii="Verdana" w:hAnsi="Verdana"/>
          <w:u w:val="single"/>
        </w:rPr>
        <w:tab/>
      </w:r>
      <w:r w:rsidR="00273140">
        <w:rPr>
          <w:rFonts w:ascii="Verdana" w:hAnsi="Verdana"/>
          <w:u w:val="single"/>
        </w:rPr>
        <w:tab/>
      </w:r>
      <w:r w:rsidR="00273140">
        <w:rPr>
          <w:rFonts w:ascii="Verdana" w:hAnsi="Verdana"/>
          <w:u w:val="single"/>
        </w:rPr>
        <w:tab/>
      </w:r>
      <w:r w:rsidR="00273140">
        <w:rPr>
          <w:rFonts w:ascii="Verdana" w:hAnsi="Verdana"/>
          <w:u w:val="single"/>
        </w:rPr>
        <w:tab/>
      </w:r>
      <w:r w:rsidR="00273140">
        <w:rPr>
          <w:rFonts w:ascii="Verdana" w:hAnsi="Verdana"/>
          <w:u w:val="single"/>
        </w:rPr>
        <w:tab/>
      </w:r>
      <w:r w:rsidR="00273140">
        <w:rPr>
          <w:rFonts w:ascii="Verdana" w:hAnsi="Verdana"/>
          <w:u w:val="single"/>
        </w:rPr>
        <w:tab/>
      </w:r>
      <w:r w:rsidR="00273140">
        <w:rPr>
          <w:rFonts w:ascii="Verdana" w:hAnsi="Verdana"/>
          <w:u w:val="single"/>
        </w:rPr>
        <w:tab/>
      </w:r>
      <w:r w:rsidR="00273140">
        <w:rPr>
          <w:rFonts w:ascii="Verdana" w:hAnsi="Verdana"/>
          <w:u w:val="single"/>
        </w:rPr>
        <w:tab/>
      </w:r>
      <w:r w:rsidR="000D77F3">
        <w:rPr>
          <w:rFonts w:ascii="Verdana" w:hAnsi="Verdana"/>
          <w:u w:val="single"/>
        </w:rPr>
        <w:tab/>
      </w:r>
      <w:r w:rsidR="000D77F3">
        <w:rPr>
          <w:rFonts w:ascii="Verdana" w:hAnsi="Verdana"/>
          <w:u w:val="single"/>
        </w:rPr>
        <w:tab/>
      </w:r>
      <w:r w:rsidR="000D77F3">
        <w:rPr>
          <w:rFonts w:ascii="Verdana" w:hAnsi="Verdana"/>
          <w:u w:val="single"/>
        </w:rPr>
        <w:tab/>
      </w:r>
      <w:r w:rsidR="000D77F3">
        <w:rPr>
          <w:rFonts w:ascii="Verdana" w:hAnsi="Verdana"/>
          <w:u w:val="single"/>
        </w:rPr>
        <w:tab/>
      </w:r>
      <w:r w:rsidR="000D77F3">
        <w:rPr>
          <w:rFonts w:ascii="Verdana" w:hAnsi="Verdana"/>
          <w:u w:val="single"/>
        </w:rPr>
        <w:tab/>
      </w:r>
      <w:r w:rsidR="000D77F3">
        <w:rPr>
          <w:rFonts w:ascii="Verdana" w:hAnsi="Verdana"/>
          <w:u w:val="single"/>
        </w:rPr>
        <w:tab/>
      </w:r>
      <w:r w:rsidR="000337FC">
        <w:rPr>
          <w:rFonts w:ascii="Verdana" w:hAnsi="Verdana"/>
          <w:u w:val="single"/>
        </w:rPr>
        <w:tab/>
      </w:r>
      <w:r w:rsidR="000337FC">
        <w:rPr>
          <w:rFonts w:ascii="Verdana" w:hAnsi="Verdana"/>
          <w:u w:val="single"/>
        </w:rPr>
        <w:tab/>
      </w:r>
    </w:p>
    <w:p w14:paraId="795D24C4" w14:textId="77777777" w:rsidR="005C6D02" w:rsidRPr="005C6D02" w:rsidRDefault="005C6D02" w:rsidP="005C6D02">
      <w:pPr>
        <w:widowControl w:val="0"/>
        <w:spacing w:line="252" w:lineRule="exact"/>
        <w:jc w:val="both"/>
        <w:rPr>
          <w:rFonts w:ascii="Verdana" w:hAnsi="Verdana" w:cs="Georgia"/>
          <w:color w:val="000000"/>
        </w:rPr>
      </w:pPr>
      <w:r w:rsidRPr="005C6D02">
        <w:rPr>
          <w:rFonts w:ascii="Verdana" w:hAnsi="Verdana" w:cs="Georgia"/>
          <w:color w:val="000000"/>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055879EE" w14:textId="77777777" w:rsidR="005C6D02" w:rsidRDefault="005C6D02" w:rsidP="005C6D02">
      <w:pPr>
        <w:widowControl w:val="0"/>
        <w:spacing w:line="252" w:lineRule="exact"/>
        <w:jc w:val="both"/>
        <w:rPr>
          <w:rFonts w:ascii="Verdana" w:hAnsi="Verdana" w:cs="Georgia"/>
          <w:color w:val="000000"/>
        </w:rPr>
      </w:pPr>
      <w:r w:rsidRPr="005C6D02">
        <w:rPr>
          <w:rFonts w:ascii="Verdana" w:hAnsi="Verdana" w:cs="Georgia"/>
          <w:color w:val="000000"/>
        </w:rPr>
        <w:t>If you have questions regarding this matter, you may contact Chuck Barry at (512) 531-6271.</w:t>
      </w:r>
    </w:p>
    <w:p w14:paraId="2E4A435A" w14:textId="77777777" w:rsidR="001E53F1" w:rsidRPr="001E53F1" w:rsidRDefault="001E53F1" w:rsidP="001E53F1">
      <w:pPr>
        <w:rPr>
          <w:rFonts w:ascii="Verdana" w:hAnsi="Verdana" w:cs="Georgia"/>
        </w:rPr>
      </w:pPr>
    </w:p>
    <w:p w14:paraId="7206ADC2" w14:textId="77777777" w:rsidR="001E53F1" w:rsidRPr="001E53F1" w:rsidRDefault="001E53F1" w:rsidP="001E53F1">
      <w:pPr>
        <w:rPr>
          <w:rFonts w:ascii="Verdana" w:hAnsi="Verdana" w:cs="Georgia"/>
        </w:rPr>
      </w:pPr>
    </w:p>
    <w:p w14:paraId="0544D20F" w14:textId="77777777" w:rsidR="001E53F1" w:rsidRPr="001E53F1" w:rsidRDefault="001E53F1" w:rsidP="001E53F1">
      <w:pPr>
        <w:rPr>
          <w:rFonts w:ascii="Verdana" w:hAnsi="Verdana" w:cs="Georgia"/>
        </w:rPr>
      </w:pPr>
    </w:p>
    <w:p w14:paraId="2478120B" w14:textId="272B6E80" w:rsidR="00D0433A" w:rsidRPr="00D0433A" w:rsidRDefault="000337FC" w:rsidP="000337FC">
      <w:pPr>
        <w:tabs>
          <w:tab w:val="left" w:pos="4470"/>
        </w:tabs>
        <w:rPr>
          <w:rFonts w:ascii="Verdana" w:hAnsi="Verdana" w:cs="Georgia"/>
        </w:rPr>
      </w:pPr>
      <w:r>
        <w:rPr>
          <w:rFonts w:ascii="Verdana" w:hAnsi="Verdana" w:cs="Georgia"/>
        </w:rPr>
        <w:tab/>
      </w:r>
    </w:p>
    <w:p w14:paraId="46914554" w14:textId="4E1D7165" w:rsidR="00D0433A" w:rsidRPr="00D0433A" w:rsidRDefault="00D0433A" w:rsidP="008F15DD">
      <w:pPr>
        <w:rPr>
          <w:rFonts w:ascii="Verdana" w:hAnsi="Verdana" w:cs="Georgia"/>
        </w:rPr>
      </w:pPr>
    </w:p>
    <w:p w14:paraId="5A940D47" w14:textId="7CCE319C" w:rsidR="00D0433A" w:rsidRPr="00D0433A" w:rsidRDefault="00D0433A" w:rsidP="008F15DD">
      <w:pPr>
        <w:tabs>
          <w:tab w:val="left" w:pos="3120"/>
        </w:tabs>
        <w:rPr>
          <w:rFonts w:ascii="Verdana" w:hAnsi="Verdana" w:cs="Georgia"/>
        </w:rPr>
      </w:pPr>
      <w:r>
        <w:rPr>
          <w:rFonts w:ascii="Verdana" w:hAnsi="Verdana" w:cs="Georgia"/>
        </w:rPr>
        <w:tab/>
      </w:r>
    </w:p>
    <w:sectPr w:rsidR="00D0433A" w:rsidRPr="00D0433A" w:rsidSect="005F3E2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72E6" w14:textId="77777777" w:rsidR="004559B9" w:rsidRDefault="004559B9" w:rsidP="00B429E3">
      <w:pPr>
        <w:spacing w:after="0" w:line="240" w:lineRule="auto"/>
      </w:pPr>
      <w:r>
        <w:separator/>
      </w:r>
    </w:p>
  </w:endnote>
  <w:endnote w:type="continuationSeparator" w:id="0">
    <w:p w14:paraId="0EB5B7CD" w14:textId="77777777" w:rsidR="004559B9" w:rsidRDefault="004559B9" w:rsidP="00B4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1DC9" w14:textId="695F66CE" w:rsidR="00B17274" w:rsidRDefault="00B17274">
    <w:pPr>
      <w:pStyle w:val="Footer"/>
    </w:pPr>
    <w:r>
      <w:t xml:space="preserve">Public Water Systems ID# </w:t>
    </w:r>
    <w:r w:rsidR="00D0433A">
      <w:t>TX1</w:t>
    </w:r>
    <w:r w:rsidR="000337FC">
      <w:t>110004</w:t>
    </w:r>
    <w:r w:rsidR="00D0433A">
      <w:t xml:space="preserve">                                                                                           </w:t>
    </w:r>
    <w:r w:rsidR="00F028F9">
      <w:t>Posted/Delivered</w:t>
    </w:r>
    <w:r>
      <w:t xml:space="preserve"> </w:t>
    </w:r>
    <w:r w:rsidR="000337FC">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3BD8B" w14:textId="77777777" w:rsidR="004559B9" w:rsidRDefault="004559B9" w:rsidP="00B429E3">
      <w:pPr>
        <w:spacing w:after="0" w:line="240" w:lineRule="auto"/>
      </w:pPr>
      <w:r>
        <w:separator/>
      </w:r>
    </w:p>
  </w:footnote>
  <w:footnote w:type="continuationSeparator" w:id="0">
    <w:p w14:paraId="36049873" w14:textId="77777777" w:rsidR="004559B9" w:rsidRDefault="004559B9" w:rsidP="00B42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1008" w14:textId="40380CFF" w:rsidR="00B429E3" w:rsidRDefault="00E34C38">
    <w:pPr>
      <w:pStyle w:val="Header"/>
    </w:pPr>
    <w:r>
      <w:rPr>
        <w:noProof/>
      </w:rPr>
      <w:drawing>
        <wp:anchor distT="0" distB="0" distL="114300" distR="114300" simplePos="0" relativeHeight="251658752" behindDoc="0" locked="0" layoutInCell="1" allowOverlap="1" wp14:anchorId="573E2948" wp14:editId="4ED5B96D">
          <wp:simplePos x="0" y="0"/>
          <wp:positionH relativeFrom="column">
            <wp:posOffset>4533900</wp:posOffset>
          </wp:positionH>
          <wp:positionV relativeFrom="paragraph">
            <wp:posOffset>-333375</wp:posOffset>
          </wp:positionV>
          <wp:extent cx="2628576" cy="1562100"/>
          <wp:effectExtent l="0" t="0" r="0" b="0"/>
          <wp:wrapNone/>
          <wp:docPr id="1382077638" name="Picture 1" descr="A blu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77638" name="Picture 1" descr="A blue circle with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576" cy="1562100"/>
                  </a:xfrm>
                  <a:prstGeom prst="rect">
                    <a:avLst/>
                  </a:prstGeom>
                  <a:noFill/>
                  <a:ln>
                    <a:noFill/>
                  </a:ln>
                </pic:spPr>
              </pic:pic>
            </a:graphicData>
          </a:graphic>
        </wp:anchor>
      </w:drawing>
    </w:r>
  </w:p>
  <w:p w14:paraId="79D5C849" w14:textId="77777777" w:rsidR="00B429E3" w:rsidRDefault="00B429E3">
    <w:pPr>
      <w:pStyle w:val="Header"/>
    </w:pPr>
  </w:p>
  <w:p w14:paraId="1971A05E" w14:textId="77777777" w:rsidR="00B429E3" w:rsidRDefault="00B429E3">
    <w:pPr>
      <w:pStyle w:val="Header"/>
    </w:pPr>
  </w:p>
  <w:p w14:paraId="3721F5C3" w14:textId="77777777" w:rsidR="00B429E3" w:rsidRDefault="00B4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6439F"/>
    <w:multiLevelType w:val="hybridMultilevel"/>
    <w:tmpl w:val="C584D734"/>
    <w:lvl w:ilvl="0" w:tplc="66E4A768">
      <w:start w:val="1"/>
      <w:numFmt w:val="bullet"/>
      <w:lvlText w:val=""/>
      <w:lvlJc w:val="left"/>
      <w:pPr>
        <w:ind w:left="832" w:hanging="360"/>
      </w:pPr>
      <w:rPr>
        <w:rFonts w:ascii="Symbol" w:hAnsi="Symbol" w:hint="default"/>
        <w:color w:val="auto"/>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16cid:durableId="100362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5C"/>
    <w:rsid w:val="000337FC"/>
    <w:rsid w:val="000A7BCF"/>
    <w:rsid w:val="000D77F3"/>
    <w:rsid w:val="000F3D1A"/>
    <w:rsid w:val="0014769C"/>
    <w:rsid w:val="001A27CC"/>
    <w:rsid w:val="001D7BDC"/>
    <w:rsid w:val="001E53F1"/>
    <w:rsid w:val="0020570A"/>
    <w:rsid w:val="00273140"/>
    <w:rsid w:val="00296222"/>
    <w:rsid w:val="002D4F3A"/>
    <w:rsid w:val="00394963"/>
    <w:rsid w:val="003B3854"/>
    <w:rsid w:val="003E2733"/>
    <w:rsid w:val="003E50A0"/>
    <w:rsid w:val="004010AA"/>
    <w:rsid w:val="00406EBC"/>
    <w:rsid w:val="00413856"/>
    <w:rsid w:val="0042161B"/>
    <w:rsid w:val="00444BE9"/>
    <w:rsid w:val="004532E2"/>
    <w:rsid w:val="004559B9"/>
    <w:rsid w:val="00466818"/>
    <w:rsid w:val="00470BE3"/>
    <w:rsid w:val="004F1541"/>
    <w:rsid w:val="00520BD4"/>
    <w:rsid w:val="00567A4C"/>
    <w:rsid w:val="00583482"/>
    <w:rsid w:val="005848C8"/>
    <w:rsid w:val="005C6D02"/>
    <w:rsid w:val="005F3E25"/>
    <w:rsid w:val="006262EC"/>
    <w:rsid w:val="00651DD8"/>
    <w:rsid w:val="006C6653"/>
    <w:rsid w:val="006F0EDC"/>
    <w:rsid w:val="006F414F"/>
    <w:rsid w:val="006F4BF3"/>
    <w:rsid w:val="00733924"/>
    <w:rsid w:val="008F15DD"/>
    <w:rsid w:val="0091636B"/>
    <w:rsid w:val="00933ACA"/>
    <w:rsid w:val="0097436B"/>
    <w:rsid w:val="0099365C"/>
    <w:rsid w:val="009D44ED"/>
    <w:rsid w:val="00A116B2"/>
    <w:rsid w:val="00A2124D"/>
    <w:rsid w:val="00A31F93"/>
    <w:rsid w:val="00A724F3"/>
    <w:rsid w:val="00A75C06"/>
    <w:rsid w:val="00A80950"/>
    <w:rsid w:val="00B17274"/>
    <w:rsid w:val="00B41A10"/>
    <w:rsid w:val="00B429E3"/>
    <w:rsid w:val="00BB420D"/>
    <w:rsid w:val="00BC4BB3"/>
    <w:rsid w:val="00BC69FC"/>
    <w:rsid w:val="00C23D88"/>
    <w:rsid w:val="00C953B0"/>
    <w:rsid w:val="00CD2BE0"/>
    <w:rsid w:val="00D0433A"/>
    <w:rsid w:val="00D25DEE"/>
    <w:rsid w:val="00D341D6"/>
    <w:rsid w:val="00D42AF6"/>
    <w:rsid w:val="00D84DE3"/>
    <w:rsid w:val="00DD1AC6"/>
    <w:rsid w:val="00E34C38"/>
    <w:rsid w:val="00E754AF"/>
    <w:rsid w:val="00F028F9"/>
    <w:rsid w:val="00F16137"/>
    <w:rsid w:val="00F32705"/>
    <w:rsid w:val="00F329DF"/>
    <w:rsid w:val="00F421E6"/>
    <w:rsid w:val="00F60ECF"/>
    <w:rsid w:val="00F73BED"/>
    <w:rsid w:val="00F759C9"/>
    <w:rsid w:val="00F9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1D4C"/>
  <w15:chartTrackingRefBased/>
  <w15:docId w15:val="{F9102F33-9F17-45E5-BBE4-97745428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9E3"/>
    <w:pPr>
      <w:tabs>
        <w:tab w:val="center" w:pos="4680"/>
        <w:tab w:val="right" w:pos="9360"/>
      </w:tabs>
    </w:pPr>
  </w:style>
  <w:style w:type="character" w:customStyle="1" w:styleId="HeaderChar">
    <w:name w:val="Header Char"/>
    <w:link w:val="Header"/>
    <w:uiPriority w:val="99"/>
    <w:rsid w:val="00B429E3"/>
    <w:rPr>
      <w:sz w:val="22"/>
      <w:szCs w:val="22"/>
    </w:rPr>
  </w:style>
  <w:style w:type="paragraph" w:styleId="Footer">
    <w:name w:val="footer"/>
    <w:basedOn w:val="Normal"/>
    <w:link w:val="FooterChar"/>
    <w:uiPriority w:val="99"/>
    <w:unhideWhenUsed/>
    <w:rsid w:val="00B429E3"/>
    <w:pPr>
      <w:tabs>
        <w:tab w:val="center" w:pos="4680"/>
        <w:tab w:val="right" w:pos="9360"/>
      </w:tabs>
    </w:pPr>
  </w:style>
  <w:style w:type="character" w:customStyle="1" w:styleId="FooterChar">
    <w:name w:val="Footer Char"/>
    <w:link w:val="Footer"/>
    <w:uiPriority w:val="99"/>
    <w:rsid w:val="00B429E3"/>
    <w:rPr>
      <w:sz w:val="22"/>
      <w:szCs w:val="22"/>
    </w:rPr>
  </w:style>
  <w:style w:type="paragraph" w:styleId="BalloonText">
    <w:name w:val="Balloon Text"/>
    <w:basedOn w:val="Normal"/>
    <w:link w:val="BalloonTextChar"/>
    <w:uiPriority w:val="99"/>
    <w:semiHidden/>
    <w:unhideWhenUsed/>
    <w:rsid w:val="00B429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29E3"/>
    <w:rPr>
      <w:rFonts w:ascii="Tahoma" w:hAnsi="Tahoma" w:cs="Tahoma"/>
      <w:sz w:val="16"/>
      <w:szCs w:val="16"/>
    </w:rPr>
  </w:style>
  <w:style w:type="paragraph" w:customStyle="1" w:styleId="letterbody">
    <w:name w:val="letter body"/>
    <w:basedOn w:val="Normal"/>
    <w:rsid w:val="00B429E3"/>
    <w:pPr>
      <w:widowControl w:val="0"/>
      <w:autoSpaceDE w:val="0"/>
      <w:autoSpaceDN w:val="0"/>
      <w:adjustRightInd w:val="0"/>
      <w:spacing w:after="180" w:line="312" w:lineRule="auto"/>
      <w:textAlignment w:val="center"/>
    </w:pPr>
    <w:rPr>
      <w:rFonts w:ascii="Verdana" w:eastAsia="Times New Roman" w:hAnsi="Verdana"/>
      <w:color w:val="000000"/>
      <w:sz w:val="18"/>
      <w:szCs w:val="18"/>
    </w:rPr>
  </w:style>
  <w:style w:type="paragraph" w:customStyle="1" w:styleId="Noparagraphstyle">
    <w:name w:val="[No paragraph style]"/>
    <w:rsid w:val="00B429E3"/>
    <w:pPr>
      <w:autoSpaceDE w:val="0"/>
      <w:autoSpaceDN w:val="0"/>
      <w:adjustRightInd w:val="0"/>
      <w:spacing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C6D02"/>
    <w:pPr>
      <w:autoSpaceDE w:val="0"/>
      <w:autoSpaceDN w:val="0"/>
      <w:adjustRightInd w:val="0"/>
      <w:spacing w:after="0" w:line="240" w:lineRule="auto"/>
      <w:ind w:left="720"/>
      <w:contextualSpacing/>
    </w:pPr>
    <w:rPr>
      <w:rFonts w:ascii="Arial" w:eastAsiaTheme="minorEastAsia" w:hAnsi="Arial" w:cs="Arial"/>
      <w:sz w:val="20"/>
      <w:szCs w:val="20"/>
    </w:rPr>
  </w:style>
  <w:style w:type="paragraph" w:styleId="Revision">
    <w:name w:val="Revision"/>
    <w:hidden/>
    <w:uiPriority w:val="99"/>
    <w:semiHidden/>
    <w:rsid w:val="00D043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vez\AppData\Local\Microsoft\Windows\Temporary%20Internet%20Files\Content.IE5\LPOF1W2T\Customer%20Service%20letterhead%20(Midway)%20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Customer Service letterhead (Midway) COLOR</Template>
  <TotalTime>4</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SWWC</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Chavez</dc:creator>
  <cp:keywords/>
  <dc:description/>
  <cp:lastModifiedBy>Chuck Barry</cp:lastModifiedBy>
  <cp:revision>2</cp:revision>
  <dcterms:created xsi:type="dcterms:W3CDTF">2024-08-06T16:50:00Z</dcterms:created>
  <dcterms:modified xsi:type="dcterms:W3CDTF">2024-08-06T16:50:00Z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1978b-6c9a-4677-b2e3-65b9a18b2c3a_Enabled">
    <vt:lpwstr>true</vt:lpwstr>
  </property>
  <property fmtid="{D5CDD505-2E9C-101B-9397-08002B2CF9AE}" pid="3" name="MSIP_Label_c6f1978b-6c9a-4677-b2e3-65b9a18b2c3a_SetDate">
    <vt:lpwstr>2024-08-06T16:46:24Z</vt:lpwstr>
  </property>
  <property fmtid="{D5CDD505-2E9C-101B-9397-08002B2CF9AE}" pid="4" name="MSIP_Label_c6f1978b-6c9a-4677-b2e3-65b9a18b2c3a_Method">
    <vt:lpwstr>Standard</vt:lpwstr>
  </property>
  <property fmtid="{D5CDD505-2E9C-101B-9397-08002B2CF9AE}" pid="5" name="MSIP_Label_c6f1978b-6c9a-4677-b2e3-65b9a18b2c3a_Name">
    <vt:lpwstr>defa4170-0d19-0005-0004-bc88714345d2</vt:lpwstr>
  </property>
  <property fmtid="{D5CDD505-2E9C-101B-9397-08002B2CF9AE}" pid="6" name="MSIP_Label_c6f1978b-6c9a-4677-b2e3-65b9a18b2c3a_SiteId">
    <vt:lpwstr>4481f9f4-d581-49bd-a706-22854e5e971f</vt:lpwstr>
  </property>
  <property fmtid="{D5CDD505-2E9C-101B-9397-08002B2CF9AE}" pid="7" name="MSIP_Label_c6f1978b-6c9a-4677-b2e3-65b9a18b2c3a_ActionId">
    <vt:lpwstr>1b4f4e95-f8c9-4ad1-bf11-47db596bf302</vt:lpwstr>
  </property>
  <property fmtid="{D5CDD505-2E9C-101B-9397-08002B2CF9AE}" pid="8" name="MSIP_Label_c6f1978b-6c9a-4677-b2e3-65b9a18b2c3a_ContentBits">
    <vt:lpwstr>0</vt:lpwstr>
  </property>
</Properties>
</file>